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7E25" w14:textId="77777777" w:rsidR="00A111E4" w:rsidRPr="00A111E4" w:rsidRDefault="00A111E4" w:rsidP="00A111E4">
      <w:pPr>
        <w:widowControl/>
        <w:shd w:val="clear" w:color="auto" w:fill="FFFFFF"/>
        <w:spacing w:after="300" w:line="540" w:lineRule="atLeast"/>
        <w:jc w:val="center"/>
        <w:outlineLvl w:val="0"/>
        <w:rPr>
          <w:rFonts w:ascii="Arial" w:eastAsia="Times New Roman" w:hAnsi="Arial" w:cs="Arial"/>
          <w:color w:val="3C3C3C"/>
          <w:kern w:val="36"/>
          <w:sz w:val="36"/>
          <w:szCs w:val="36"/>
        </w:rPr>
      </w:pPr>
      <w:r w:rsidRPr="00A111E4">
        <w:rPr>
          <w:rFonts w:ascii="Arial" w:eastAsia="Times New Roman" w:hAnsi="Arial" w:cs="Arial"/>
          <w:color w:val="3C3C3C"/>
          <w:kern w:val="36"/>
          <w:sz w:val="36"/>
          <w:szCs w:val="36"/>
        </w:rPr>
        <w:t>И З В Е Щ Е Н И Е о проведении 11 июня 2026 года повторных электронных торгов по продаже государственного имущества</w:t>
      </w:r>
    </w:p>
    <w:p w14:paraId="0DEF9C50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Организатор электронных торгов: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комитет «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Гомельоблимущество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», г. Гомель, пр. Ленина, </w:t>
      </w:r>
      <w:proofErr w:type="gram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3,т.</w:t>
      </w:r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(0232)50-66-43, 50-69-49.</w:t>
      </w:r>
    </w:p>
    <w:p w14:paraId="3C4C4EC1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Электронные торги проводятся в соответствии с Положением о порядке проведения электронных торгов, утвержденным постановлением Совета Министров Республики Беларусь от 12 июля 2013 года № 608 (далее – Положение).</w:t>
      </w:r>
    </w:p>
    <w:p w14:paraId="56760399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Оператор электронной торговой площадки (далее - ЭТП): открытое акционерное общество «Белорусская универсальная товарная биржа», электронный адрес ЭТП: </w:t>
      </w:r>
      <w:hyperlink r:id="rId5" w:history="1">
        <w:r w:rsidRPr="00A111E4">
          <w:rPr>
            <w:rFonts w:ascii="Arial" w:eastAsia="Times New Roman" w:hAnsi="Arial" w:cs="Arial"/>
            <w:color w:val="2C526A"/>
            <w:sz w:val="27"/>
            <w:szCs w:val="27"/>
            <w:u w:val="single"/>
          </w:rPr>
          <w:t>www.et.butb.by</w:t>
        </w:r>
      </w:hyperlink>
      <w:r w:rsidRPr="00A111E4">
        <w:rPr>
          <w:rFonts w:ascii="Arial" w:eastAsia="Times New Roman" w:hAnsi="Arial" w:cs="Arial"/>
          <w:color w:val="3C3C3C"/>
          <w:sz w:val="27"/>
          <w:szCs w:val="27"/>
          <w:u w:val="single"/>
        </w:rPr>
        <w:t>,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т. (017) 309-32-49, 309-32-09.</w:t>
      </w:r>
    </w:p>
    <w:p w14:paraId="0874FB59" w14:textId="77777777" w:rsidR="00A111E4" w:rsidRPr="00A111E4" w:rsidRDefault="00A111E4" w:rsidP="00A111E4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Лот № 1</w:t>
      </w:r>
    </w:p>
    <w:p w14:paraId="0ADB34FD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 xml:space="preserve">Информация о предмете электронных </w:t>
      </w: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торгов: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капитальное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строение – здание специализированное для образования и (или) воспитания (Яновский детский сад), одноэтажное кирпичное, с сараем, погребом, уборной, забором, крыльцом, общей площадью 137,1 кв. м, инв. № 311/С-31558.</w:t>
      </w:r>
    </w:p>
    <w:p w14:paraId="168C9578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 xml:space="preserve">Место </w:t>
      </w: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нахождения: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Гомельская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область, Ветковский район,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Столбунский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с/с,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аг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.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Яново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>, ул. Совхозная, 2.</w:t>
      </w:r>
    </w:p>
    <w:p w14:paraId="2A4EE1F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Информация о земельном участке: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площадь – 0.2256 га в аренду на 25 лет.</w:t>
      </w:r>
    </w:p>
    <w:p w14:paraId="2F40154E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Продавец: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отдел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образования Ветковского райисполкома, тел. (02330) 4-43-26.</w:t>
      </w:r>
    </w:p>
    <w:p w14:paraId="487E10E0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Сведения о возможном использовании земельного участка: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использовать земельный участок при условии реконструкции объектов, под объекты административного назначения, торговли, для обслуживания населения, мелкий производственный объект, деятельность которых не оказывает вредного воздействия на окружающую среду и не требует больших территорий.</w:t>
      </w:r>
    </w:p>
    <w:p w14:paraId="275A3C6A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Сведения об условиях, предусмотренных в решении об изъятии земельного участка: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заключить с Ветковским райисполкомом договор аренды земельного участка и осуществить в двухмесячный срок со дня подписания договора аренды государственную регистрацию прекращения, создания прав, ограничений (обременений) прав на земельный участок. Право аренды на земельный участок, предоставленный в соответствии с решением Ветковского райисполкома от 18.03.2024 № 226,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права;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лет;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объекта; завершить строительство (реконструкцию) объекта в сроки, определенные проектной документацией; по миновании надобности, но не позднее трех месяцев до окончания срока, установленного подпунктом 3.2 пункта 3 решения Ветковского райисполкома от 18.03.2024 № 226, обратиться в райисполком для решения вопроса о его дальнейшем использовании или продлить срок пользования земельным участком.</w:t>
      </w:r>
    </w:p>
    <w:p w14:paraId="4BCC7C95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lastRenderedPageBreak/>
        <w:t>Обязательные условия электронных торгов:</w:t>
      </w:r>
    </w:p>
    <w:p w14:paraId="7ED4444E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1. осуществление покупателем предпринимательской деятельности, ремесленной деятельности либо деятельности,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деятельности некоммерческих организаций (далее – деятельность), с использованием приобретенного недвижимого имущества не менее двух лет, начиная не позднее 12 месяцев с момента заключения договора купли-продажи.</w:t>
      </w:r>
    </w:p>
    <w:p w14:paraId="304D5EE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В случае использования права сноса отдельных объектов, входящих в состав приобретенного недвижимого имущества, которые не могут быть использованы покупателем для осуществления деятельности, осуществить их снос в течение одного года с момента заключения договора купли-продажи;</w:t>
      </w:r>
    </w:p>
    <w:p w14:paraId="233F3D82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2. в случае использования права сноса приобретенного недвижимого имущества и строительства нового объекта для осуществления деятельности завершить его строительство не позднее трех лет с момента заключения договора купли-продажи и использовать построенный объект для осуществления деятельности не менее двух лет с момента ввода его в эксплуатацию;</w:t>
      </w:r>
    </w:p>
    <w:p w14:paraId="4C27596D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3. в случае необходимости проведения реконструкции приобретенного недвижимого имущества обеспечить завершение строительно-монтажных работ по его реконструкции не позднее 24 месяцев с момента заключения договора купли-продажи, использовать реконструированный объект для осуществления деятельности не менее двух лет с момента ввода его в эксплуатацию.</w:t>
      </w:r>
    </w:p>
    <w:p w14:paraId="1C9E831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Покупатель имеет право на снос отдельных объектов, входящих в состав приобретенного недвижимого имущества, которые не могут быть использованы им для осуществления деятельности.</w:t>
      </w:r>
    </w:p>
    <w:p w14:paraId="0817D0B1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4. 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14:paraId="14ADC6C8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До истечения срока выполнения обязательного условия аукциона с начальной ценой, равной одной базовой величине, допускается отчуждение покупателем недвижимого имущества по согласованию с Ветковским райисполкомом,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 на нового покупателя распространяется ограничение, установленное в части первой пункта 4 решения Ветковского райисполкома от 12.08.2024 № 754.</w:t>
      </w:r>
    </w:p>
    <w:p w14:paraId="69AFAE23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Начальная цена предмета электронных торгов: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1 базовая величина.</w:t>
      </w:r>
    </w:p>
    <w:p w14:paraId="13B8597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Задаток для участия в электронных торгах: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1 базовая величина.</w:t>
      </w:r>
    </w:p>
    <w:p w14:paraId="224E1C61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14:paraId="29A37468" w14:textId="77777777" w:rsidR="00A111E4" w:rsidRPr="00A111E4" w:rsidRDefault="00A111E4" w:rsidP="00A111E4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Лот № 2</w:t>
      </w:r>
    </w:p>
    <w:p w14:paraId="7EB571F9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Информация о предмете электронных торгов: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 капитальное строение: </w:t>
      </w:r>
      <w:proofErr w:type="gram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здание</w:t>
      </w:r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специализированное здравоохранения и (или) предоставления социальных услуг 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lastRenderedPageBreak/>
        <w:t>(здание ФАПа) с верандой, уборной, крыльцом, забором, одноэтажное, стены – сборно-щитовые, обложенные кирпичом, общей площадью 57,4 кв. м, инв. № 311/С-27799.</w:t>
      </w:r>
    </w:p>
    <w:p w14:paraId="11E26681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Место нахождения: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Гомельская область, Ветковский район,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Великонемковский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с/с, д. Казацкие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Болсуны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>, ул. Советская.</w:t>
      </w:r>
    </w:p>
    <w:p w14:paraId="35831EE2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Информация о земельном участке: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площадь – 0,0766 га в аренду на 25 лет.</w:t>
      </w:r>
    </w:p>
    <w:p w14:paraId="02448A8A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Продавец: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учреждение здравоохранения «Ветковская центральная районная больница», тел. (02330) 4-43-45.</w:t>
      </w:r>
    </w:p>
    <w:p w14:paraId="1A8379B8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 xml:space="preserve">Сведения о возможном использовании земельного </w:t>
      </w: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участка: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использовать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земельный участок при условии реконструкции под объекты административного назначения, торговли, для обслуживания населения, а также производственный объект, деятельность которого не окажет вредного воздействия на окружающую среду и не потребует больших территорий.</w:t>
      </w:r>
    </w:p>
    <w:p w14:paraId="40E15A6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Ограничения (обременения) прав в использовании земельного участка в связи с его расположением: на природных территориях, подлежащих специальной охране (в водоохранных зонах), площадь 0,0766 га; на территории, подвергшейся радиоактивному загрязнению (зона проживания с периодическим радиационным контролем), площадь 0,0766 га.</w:t>
      </w:r>
    </w:p>
    <w:p w14:paraId="20568BCC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Сведения об условиях, предусмотренных в решении об изъятии земельного участка: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заключить с Ветковским райисполкомом договор аренды земельного участка и осуществить в двухмесячный срок со дня его подписания государственную регистрацию прекращения, создания прав, ограничений (обременений) прав на него. Право аренды на земельный участок, предоставленный в соответствии с решением Ветковского райисполкома от 14.07.2025 № 643,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права;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лет;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объекта; завершить строительство (реконструкцию) объекта в сроки, определенные проектной документацией; по миновании надобности, но не позднее трех месяцев до окончания срока, установленного подпунктом 3.2 пункта 3 решения Ветковского райисполкома от 14.07.2025 № 643, обратиться в райисполком для решения вопроса о его дальнейшем использовании или продлить срок пользования земельным участком.</w:t>
      </w:r>
    </w:p>
    <w:p w14:paraId="333DCB2E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Обязательные условия электронных торгов:</w:t>
      </w:r>
    </w:p>
    <w:p w14:paraId="64A874C8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1.осуществление покупателем предпринимательской деятельности, ремесленной деятельности либо деятельности, при осуществлении которой физические лица, не осуществляющие предпринимательскую деятельность, уплачивают единый налог, или в случае приобретения имущества некоммерческими организациями – деятельности некоммерческих организаций (далее - деятельность), с использованием приобретенного имущества не менее двух лет, начиная не позднее 12 месяцев с момента заключения договора купли-продажи. В случае использования права сноса отдельных объектов, входящих в состав приобретенного имущества, которые не могут быть использованы покупателем для осуществления деятельности, осуществить их снос в течение одного года с момента заключения договора купли-продажи;</w:t>
      </w:r>
    </w:p>
    <w:p w14:paraId="2D950B0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lastRenderedPageBreak/>
        <w:t>2. в случае использования права сноса приобретенного имущества и строительства нового объекта для осуществления деятельности завершить его строительство не позднее трех лет с момента заключения договора купли-продажи и использовать построенный объект для осуществления деятельности не менее двух лет с момента ввода его в эксплуатацию;</w:t>
      </w:r>
    </w:p>
    <w:p w14:paraId="49D4D45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3. в случае необходимости проведения реконструкции приобретенного имущества обеспечить завершение строительно-монтажных работ по его реконструкции не позднее 24 месяцев с момента заключения договора купли-продажи, использовать реконструированный объект для осуществления деятельности не менее двух лет с момента ввода его в эксплуатацию.</w:t>
      </w:r>
    </w:p>
    <w:p w14:paraId="04E42FA2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Покупатель имеет право на снос отдельных объектов, входящих в состав приобретенного имущества, которые не могут быть использованы им для осуществления деятельности.</w:t>
      </w:r>
    </w:p>
    <w:p w14:paraId="41041BA4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Не допускается залог приобретенного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 До истечения срока выполнения обязательного условия аукциона с начальной ценой, равной одной базовой величине, допускается отчуждение покупателем имущества по согласованию с Ветковским районным исполнительным комитетом,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 на нового покупателя распространяется ограничение по залогу и удовлетворению требований кредиторов в процессе экономической несостоятельности (банкротства).</w:t>
      </w:r>
    </w:p>
    <w:p w14:paraId="55A5287C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Начальная цена предмета электронных торгов: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1 базовая величина.</w:t>
      </w:r>
    </w:p>
    <w:p w14:paraId="3C0F08F2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Задаток для участия в электронных торгах: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1 базовая величина.</w:t>
      </w:r>
    </w:p>
    <w:p w14:paraId="27D6F4F9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14:paraId="7C80ABC0" w14:textId="77777777" w:rsidR="00A111E4" w:rsidRPr="00A111E4" w:rsidRDefault="00A111E4" w:rsidP="00A111E4">
      <w:pPr>
        <w:widowControl/>
        <w:shd w:val="clear" w:color="auto" w:fill="FFFFFF"/>
        <w:spacing w:after="150"/>
        <w:jc w:val="center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Лот № 3</w:t>
      </w:r>
    </w:p>
    <w:p w14:paraId="6F49E6E6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 xml:space="preserve">Информация о предмете электронных </w:t>
      </w: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торгов: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капитальное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строение – здание специализированное культурно-просветительного и (или) зрелищного назначения (сельский дом культуры) с сараем, одноэтажное кирпичное, общей площадью 261,9 кв. м, инв. № 311/С-33344.</w:t>
      </w:r>
    </w:p>
    <w:p w14:paraId="012BF30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Место нахождения: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 Гомельская область, Ветковский район,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Столбунский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с/с, д. </w:t>
      </w:r>
      <w:proofErr w:type="spellStart"/>
      <w:r w:rsidRPr="00A111E4">
        <w:rPr>
          <w:rFonts w:ascii="Arial" w:eastAsia="Times New Roman" w:hAnsi="Arial" w:cs="Arial"/>
          <w:color w:val="3C3C3C"/>
          <w:sz w:val="27"/>
          <w:szCs w:val="27"/>
        </w:rPr>
        <w:t>Перелёвка</w:t>
      </w:r>
      <w:proofErr w:type="spellEnd"/>
      <w:r w:rsidRPr="00A111E4">
        <w:rPr>
          <w:rFonts w:ascii="Arial" w:eastAsia="Times New Roman" w:hAnsi="Arial" w:cs="Arial"/>
          <w:color w:val="3C3C3C"/>
          <w:sz w:val="27"/>
          <w:szCs w:val="27"/>
        </w:rPr>
        <w:t>, ул. Новая, 5.</w:t>
      </w:r>
    </w:p>
    <w:p w14:paraId="0E17158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Информация о земельном участке: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площадь – 0.2500 га в аренду на 25 лет.</w:t>
      </w:r>
    </w:p>
    <w:p w14:paraId="26A2C36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proofErr w:type="spellStart"/>
      <w:proofErr w:type="gramStart"/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Продавец: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сектор</w:t>
      </w:r>
      <w:proofErr w:type="spellEnd"/>
      <w:proofErr w:type="gramEnd"/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 культуры Ветковского райисполкома, тел. (02330) 4-43-26.</w:t>
      </w:r>
    </w:p>
    <w:p w14:paraId="4D2F0B1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Сведения о возможном использовании земельного участка: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использовать земельный участок при условии реконструкции объектов, под объекты административного назначения, торговли, для обслуживания населения, мелкий производственный объект, деятельность которых не оказывает вредного воздействия на окружающую среду и не требует больших территорий.</w:t>
      </w:r>
    </w:p>
    <w:p w14:paraId="20C94A2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Сведения об условиях, предусмотренных в решении об изъятии земельного участка: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заключить с Ветковским райисполкомом договор аренды земельного участка и 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lastRenderedPageBreak/>
        <w:t>осуществить в двухмесячный срок со дня подписания договора аренды государственную регистрацию прекращения, создания прав, ограничений (обременений) прав на земельный участок. Право аренды на земельный участок, предоставленный в соответствии с решением Ветковского райисполкома от 18.03.2024 № 227, возникает с момента его государственной регистрации в соответствующей организации по государственной регистрации недвижимого имущества, прав на него и сделок с ним и прекращается через 25 лет со дня регистрации данного права;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 (реконструкции), разрешение райисполкома на проведение проектно-изыскательских работ, разработку строительного проекта на строительство (реконструкцию) объекта в срок, не превышающий двух лет; приступить к строительству (реконструкции) объекта в течение шести месяцев со дня утверждения в установленном порядке проектной документации на строительство объекта; завершить строительство (реконструкцию) объекта в сроки, определенные проектной документацией; по миновании надобности, но не позднее трех месяцев до окончания срока, установленного подпунктом 3.2 пункта 3 решения Ветковского райисполкома от 18.03.2024 № 227, обратиться в райисполком для решения вопроса о его дальнейшем использовании или продлить срок пользования земельным участком.</w:t>
      </w:r>
    </w:p>
    <w:p w14:paraId="652FC08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Обязательные условия электронных торгов:</w:t>
      </w:r>
    </w:p>
    <w:p w14:paraId="73FA7BA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1. осуществление покупателем предпринимательской деятельности, ремесленной деятельности либо деятельности,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деятельности некоммерческих организаций (далее – деятельность), с использованием приобретенного недвижимого имущества не менее двух лет, начиная не позднее 12 месяцев с момента заключения договора купли-продажи.</w:t>
      </w:r>
    </w:p>
    <w:p w14:paraId="6B6753E4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В случае использования права сноса отдельных объектов, входящих в состав приобретенного недвижимого имущества, которые не могут быть использованы покупателем для осуществления деятельности, осуществить их снос в течение одного года с момента заключения договора купли-продажи;</w:t>
      </w:r>
    </w:p>
    <w:p w14:paraId="760A4CE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2. в случае использования права сноса приобретенного недвижимого имущества и строительства нового объекта для осуществления деятельности завершить его строительство не позднее трех лет с момента заключения договора купли-продажи и использовать построенный объект для осуществления деятельности не менее двух лет с момента ввода его в эксплуатацию;</w:t>
      </w:r>
    </w:p>
    <w:p w14:paraId="04365773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3. в случае необходимости проведения реконструкции приобретенного недвижимого имущества обеспечить завершение строительно-монтажных работ по его реконструкции не позднее 24 месяцев с момента заключения договора купли-продажи, использовать реконструированный объект для осуществления деятельности не менее двух лет с момента ввода его в эксплуатацию.</w:t>
      </w:r>
    </w:p>
    <w:p w14:paraId="33C59C89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Покупатель имеет право на снос отдельных объектов, входящих в состав приобретенного недвижимого имущества, которые не могут быть использованы им для осуществления деятельности.</w:t>
      </w:r>
    </w:p>
    <w:p w14:paraId="3F1311B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4. 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14:paraId="599C043B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lastRenderedPageBreak/>
        <w:t>                До истечения срока выполнения обязательного условия аукциона с начальной ценой, равной одной базовой величине, допускается отчуждение покупателем недвижимого имущества по согласованию с Ветковским райисполкомом,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 на нового покупателя распространяется ограничение, установленное в части первой пункта 4 решения Ветковского райисполкома от 12.08.2024 № 754.</w:t>
      </w:r>
    </w:p>
    <w:p w14:paraId="515B2858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Начальная цена предмета электронных торгов: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1 базовая величина.</w:t>
      </w:r>
    </w:p>
    <w:p w14:paraId="31279ACD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Задаток для участия в электронных торгах: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1 базовая величина.</w:t>
      </w:r>
    </w:p>
    <w:p w14:paraId="6DA19444" w14:textId="77777777" w:rsidR="00F53D7E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К участию в электронных торгах по данному лоту допускаются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гражданства.</w:t>
      </w:r>
    </w:p>
    <w:p w14:paraId="5B64A169" w14:textId="683252DB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               Обращаем внимание! В соответствии с законодательством при определении нескольких условий продажи недвижимого имущества с начальной ценой продажи, равной одной базовой величине, выбор одного из них осуществляется покупателем после проведения аукциона при заключении договора купли-продажи и отражается в нем с указанием сроков выполнения этого условия.</w:t>
      </w:r>
    </w:p>
    <w:p w14:paraId="3E9116F5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 </w:t>
      </w:r>
    </w:p>
    <w:p w14:paraId="5F2A785D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проведения.</w:t>
      </w:r>
    </w:p>
    <w:p w14:paraId="7B586CEF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Задаток перечисляется на расчетный счет ОАО «Белорусская универсальная товарная биржа» № BY60AKBB30120000066940000000 в ОАО «АСБ Беларусбанк», код банка AKBBBY2X, УНП 190542056 до подачи заявления. </w:t>
      </w: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Код категории назначения перевода: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для юридических лиц и индивидуальных предпринимателей – OTHR; для физических лиц – MP2B (платеж с текущего (расчетного) банковского счета физического лица) или CASH (платеж наличными в кассе банка). </w:t>
      </w: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Код назначения платежа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– 40901 (перечисление гарантийного взноса). </w:t>
      </w: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Прием заявлений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(с прилагаемыми документами)</w:t>
      </w: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 для участия в электронных торгах осуществляется со дня размещения на ЭТП информации о проведении электронных торгов и прекращается 8 июня 2026 года в 15.00.</w:t>
      </w:r>
    </w:p>
    <w:p w14:paraId="0A581546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Лицу, желающему принять участие в электронных торгах,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> необходимо подать заявление, приложить к нему изображение документа, подтверждающего перечисление задатка на счет, указанный в извещении, пройти регистрацию в качестве участника электронных торгов с последующим присвоением ему уникального номера для участия в электронных торгах. Одновременно с подачей заявления лицо, желающее принять участие в электронных торгах, принимает условия соглашения. Форма заявления, порядок регистрации и условия участия участников электронных торгов устанавливаются регламентом, определенным оператором электронной торговой площадки, с соблюдением требований Положения.</w:t>
      </w:r>
    </w:p>
    <w:p w14:paraId="7034C910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b/>
          <w:bCs/>
          <w:color w:val="3C3C3C"/>
          <w:sz w:val="27"/>
          <w:szCs w:val="27"/>
        </w:rPr>
        <w:t>Победитель электронных торгов (претендент на покупку) 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t xml:space="preserve">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</w:t>
      </w:r>
      <w:r w:rsidRPr="00A111E4">
        <w:rPr>
          <w:rFonts w:ascii="Arial" w:eastAsia="Times New Roman" w:hAnsi="Arial" w:cs="Arial"/>
          <w:color w:val="3C3C3C"/>
          <w:sz w:val="27"/>
          <w:szCs w:val="27"/>
        </w:rPr>
        <w:lastRenderedPageBreak/>
        <w:t>участка. После совершения победителем электронных торгов (претендентом на покупку) названных действий и представления организатору электронных торгов, продавцу и в местный исполнительный комитет копий платежных документов, но не позднее 10 рабочих дней, с ним в установленном порядке в соответствии с условиями электронных торгов продавцом заключается договор купли-продажи недвижимого имущества, а местный исполнительный комитет выдает экземпляр протокола и заключает с ним договор аренды земельного участка.</w:t>
      </w:r>
    </w:p>
    <w:p w14:paraId="34125237" w14:textId="77777777" w:rsidR="00A111E4" w:rsidRPr="00A111E4" w:rsidRDefault="00A111E4" w:rsidP="00A111E4">
      <w:pPr>
        <w:widowControl/>
        <w:shd w:val="clear" w:color="auto" w:fill="FFFFFF"/>
        <w:spacing w:after="150"/>
        <w:rPr>
          <w:rFonts w:ascii="Arial" w:eastAsia="Times New Roman" w:hAnsi="Arial" w:cs="Arial"/>
          <w:color w:val="3C3C3C"/>
          <w:sz w:val="27"/>
          <w:szCs w:val="27"/>
        </w:rPr>
      </w:pPr>
      <w:r w:rsidRPr="00A111E4">
        <w:rPr>
          <w:rFonts w:ascii="Arial" w:eastAsia="Times New Roman" w:hAnsi="Arial" w:cs="Arial"/>
          <w:color w:val="3C3C3C"/>
          <w:sz w:val="27"/>
          <w:szCs w:val="27"/>
        </w:rPr>
        <w:t>В соответствии с действующим законодательством Республики Беларусь может быть предоставлена рассрочка оплаты недвижимого имущества.</w:t>
      </w:r>
    </w:p>
    <w:p w14:paraId="59BFA9F5" w14:textId="77777777" w:rsidR="00BF53BD" w:rsidRPr="00A111E4" w:rsidRDefault="00BF53BD" w:rsidP="00A111E4"/>
    <w:sectPr w:rsidR="00BF53BD" w:rsidRPr="00A111E4" w:rsidSect="002434FC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1"/>
    <w:rsid w:val="000052A1"/>
    <w:rsid w:val="00053717"/>
    <w:rsid w:val="00092B51"/>
    <w:rsid w:val="000A3820"/>
    <w:rsid w:val="000A5C8D"/>
    <w:rsid w:val="000B035A"/>
    <w:rsid w:val="000D1885"/>
    <w:rsid w:val="000E3B44"/>
    <w:rsid w:val="0011382C"/>
    <w:rsid w:val="00117FF4"/>
    <w:rsid w:val="00120BA6"/>
    <w:rsid w:val="00121749"/>
    <w:rsid w:val="00137C6F"/>
    <w:rsid w:val="00142374"/>
    <w:rsid w:val="001559F7"/>
    <w:rsid w:val="0016034E"/>
    <w:rsid w:val="0016036C"/>
    <w:rsid w:val="00161E0F"/>
    <w:rsid w:val="0016580F"/>
    <w:rsid w:val="001A457C"/>
    <w:rsid w:val="001B33AA"/>
    <w:rsid w:val="001B42FF"/>
    <w:rsid w:val="001B54EB"/>
    <w:rsid w:val="002149BD"/>
    <w:rsid w:val="00222B25"/>
    <w:rsid w:val="00225951"/>
    <w:rsid w:val="002433D0"/>
    <w:rsid w:val="002434FC"/>
    <w:rsid w:val="00265AAC"/>
    <w:rsid w:val="00272847"/>
    <w:rsid w:val="00273041"/>
    <w:rsid w:val="00294B06"/>
    <w:rsid w:val="002A3675"/>
    <w:rsid w:val="002A6C2F"/>
    <w:rsid w:val="002B5739"/>
    <w:rsid w:val="002B5B1E"/>
    <w:rsid w:val="002C2C45"/>
    <w:rsid w:val="002F3D80"/>
    <w:rsid w:val="003041EF"/>
    <w:rsid w:val="00340180"/>
    <w:rsid w:val="00355F6E"/>
    <w:rsid w:val="0036098B"/>
    <w:rsid w:val="00364A4D"/>
    <w:rsid w:val="003810A3"/>
    <w:rsid w:val="003868A1"/>
    <w:rsid w:val="00387D06"/>
    <w:rsid w:val="003902C4"/>
    <w:rsid w:val="003908DD"/>
    <w:rsid w:val="003B0014"/>
    <w:rsid w:val="003B646A"/>
    <w:rsid w:val="003C2267"/>
    <w:rsid w:val="003D3978"/>
    <w:rsid w:val="003F481D"/>
    <w:rsid w:val="00411202"/>
    <w:rsid w:val="00420102"/>
    <w:rsid w:val="0043565D"/>
    <w:rsid w:val="00447CBC"/>
    <w:rsid w:val="004541B8"/>
    <w:rsid w:val="00467D31"/>
    <w:rsid w:val="00470BDC"/>
    <w:rsid w:val="0047443C"/>
    <w:rsid w:val="0049757D"/>
    <w:rsid w:val="004975D4"/>
    <w:rsid w:val="004A05D4"/>
    <w:rsid w:val="004A23BA"/>
    <w:rsid w:val="004A4C4E"/>
    <w:rsid w:val="004D1DC8"/>
    <w:rsid w:val="004D6F33"/>
    <w:rsid w:val="004D71C0"/>
    <w:rsid w:val="004F3E7C"/>
    <w:rsid w:val="00510724"/>
    <w:rsid w:val="00523158"/>
    <w:rsid w:val="00523373"/>
    <w:rsid w:val="0053635B"/>
    <w:rsid w:val="00552B56"/>
    <w:rsid w:val="00554785"/>
    <w:rsid w:val="005566A7"/>
    <w:rsid w:val="0056385A"/>
    <w:rsid w:val="005737CC"/>
    <w:rsid w:val="00581247"/>
    <w:rsid w:val="005B15E0"/>
    <w:rsid w:val="005B5638"/>
    <w:rsid w:val="005C613F"/>
    <w:rsid w:val="005D4DC4"/>
    <w:rsid w:val="005D7EDB"/>
    <w:rsid w:val="005F11EB"/>
    <w:rsid w:val="005F373A"/>
    <w:rsid w:val="006125B2"/>
    <w:rsid w:val="00621C44"/>
    <w:rsid w:val="00631E2A"/>
    <w:rsid w:val="006520D3"/>
    <w:rsid w:val="00652913"/>
    <w:rsid w:val="00655B0F"/>
    <w:rsid w:val="0066097F"/>
    <w:rsid w:val="006638E5"/>
    <w:rsid w:val="00697832"/>
    <w:rsid w:val="006C06CE"/>
    <w:rsid w:val="006C1E14"/>
    <w:rsid w:val="006C6414"/>
    <w:rsid w:val="006C7787"/>
    <w:rsid w:val="006E37C5"/>
    <w:rsid w:val="006F5123"/>
    <w:rsid w:val="006F76EC"/>
    <w:rsid w:val="00704409"/>
    <w:rsid w:val="00705FE7"/>
    <w:rsid w:val="00723A4A"/>
    <w:rsid w:val="00732367"/>
    <w:rsid w:val="00732E21"/>
    <w:rsid w:val="0073776B"/>
    <w:rsid w:val="00743B7D"/>
    <w:rsid w:val="007553C4"/>
    <w:rsid w:val="00771645"/>
    <w:rsid w:val="007746A3"/>
    <w:rsid w:val="0078528C"/>
    <w:rsid w:val="00793B3E"/>
    <w:rsid w:val="007B5C2F"/>
    <w:rsid w:val="007C5C3B"/>
    <w:rsid w:val="007D4BBB"/>
    <w:rsid w:val="007E3600"/>
    <w:rsid w:val="007F1F21"/>
    <w:rsid w:val="007F537F"/>
    <w:rsid w:val="007F5C18"/>
    <w:rsid w:val="0083114B"/>
    <w:rsid w:val="008446DC"/>
    <w:rsid w:val="0086701B"/>
    <w:rsid w:val="00872E60"/>
    <w:rsid w:val="00875CE3"/>
    <w:rsid w:val="00880694"/>
    <w:rsid w:val="00882860"/>
    <w:rsid w:val="00882A8C"/>
    <w:rsid w:val="00893AFB"/>
    <w:rsid w:val="00894F82"/>
    <w:rsid w:val="008A048C"/>
    <w:rsid w:val="008A206D"/>
    <w:rsid w:val="008E79D7"/>
    <w:rsid w:val="008E7DCB"/>
    <w:rsid w:val="00900946"/>
    <w:rsid w:val="0090165D"/>
    <w:rsid w:val="0090791D"/>
    <w:rsid w:val="00913218"/>
    <w:rsid w:val="009205B9"/>
    <w:rsid w:val="0092366B"/>
    <w:rsid w:val="00937C3B"/>
    <w:rsid w:val="0094084A"/>
    <w:rsid w:val="00942F78"/>
    <w:rsid w:val="0096299C"/>
    <w:rsid w:val="00964C18"/>
    <w:rsid w:val="00971EB0"/>
    <w:rsid w:val="009806EE"/>
    <w:rsid w:val="00997F98"/>
    <w:rsid w:val="009A5BE3"/>
    <w:rsid w:val="009C4B5A"/>
    <w:rsid w:val="009D204B"/>
    <w:rsid w:val="00A00962"/>
    <w:rsid w:val="00A07631"/>
    <w:rsid w:val="00A111E4"/>
    <w:rsid w:val="00A12A07"/>
    <w:rsid w:val="00A32F67"/>
    <w:rsid w:val="00A44097"/>
    <w:rsid w:val="00A70DA8"/>
    <w:rsid w:val="00A71E22"/>
    <w:rsid w:val="00A7661B"/>
    <w:rsid w:val="00AA382F"/>
    <w:rsid w:val="00AB116B"/>
    <w:rsid w:val="00AC6500"/>
    <w:rsid w:val="00AD4BE7"/>
    <w:rsid w:val="00AE1029"/>
    <w:rsid w:val="00AE3BBF"/>
    <w:rsid w:val="00AE55AD"/>
    <w:rsid w:val="00AF50E9"/>
    <w:rsid w:val="00B05F11"/>
    <w:rsid w:val="00B071A9"/>
    <w:rsid w:val="00B13508"/>
    <w:rsid w:val="00B26761"/>
    <w:rsid w:val="00B37802"/>
    <w:rsid w:val="00B41A32"/>
    <w:rsid w:val="00B4381E"/>
    <w:rsid w:val="00B44DB1"/>
    <w:rsid w:val="00B4686C"/>
    <w:rsid w:val="00B80CC7"/>
    <w:rsid w:val="00B85BCE"/>
    <w:rsid w:val="00B94C8A"/>
    <w:rsid w:val="00BB57D7"/>
    <w:rsid w:val="00BC5A30"/>
    <w:rsid w:val="00BD085E"/>
    <w:rsid w:val="00BD16F3"/>
    <w:rsid w:val="00BE6D21"/>
    <w:rsid w:val="00BE789F"/>
    <w:rsid w:val="00BF53BD"/>
    <w:rsid w:val="00C008DC"/>
    <w:rsid w:val="00C00B5F"/>
    <w:rsid w:val="00C05A4D"/>
    <w:rsid w:val="00C2021C"/>
    <w:rsid w:val="00C27C37"/>
    <w:rsid w:val="00C300E1"/>
    <w:rsid w:val="00C4401F"/>
    <w:rsid w:val="00C45CDE"/>
    <w:rsid w:val="00C46408"/>
    <w:rsid w:val="00C56248"/>
    <w:rsid w:val="00C6332B"/>
    <w:rsid w:val="00C633EA"/>
    <w:rsid w:val="00C65799"/>
    <w:rsid w:val="00C660C2"/>
    <w:rsid w:val="00C677D1"/>
    <w:rsid w:val="00C814AD"/>
    <w:rsid w:val="00C85ADA"/>
    <w:rsid w:val="00C92D30"/>
    <w:rsid w:val="00C92EA6"/>
    <w:rsid w:val="00CA5AF5"/>
    <w:rsid w:val="00CA61FD"/>
    <w:rsid w:val="00CB3A6F"/>
    <w:rsid w:val="00CB7112"/>
    <w:rsid w:val="00CD7161"/>
    <w:rsid w:val="00CE1608"/>
    <w:rsid w:val="00CE18C0"/>
    <w:rsid w:val="00CF1568"/>
    <w:rsid w:val="00CF6E8C"/>
    <w:rsid w:val="00D020F8"/>
    <w:rsid w:val="00D11717"/>
    <w:rsid w:val="00D142D1"/>
    <w:rsid w:val="00D21D8A"/>
    <w:rsid w:val="00D241C2"/>
    <w:rsid w:val="00D2428C"/>
    <w:rsid w:val="00D571D3"/>
    <w:rsid w:val="00D6077C"/>
    <w:rsid w:val="00D61B5B"/>
    <w:rsid w:val="00D658EF"/>
    <w:rsid w:val="00D823F6"/>
    <w:rsid w:val="00D850AE"/>
    <w:rsid w:val="00D94571"/>
    <w:rsid w:val="00D94858"/>
    <w:rsid w:val="00D95C77"/>
    <w:rsid w:val="00D97782"/>
    <w:rsid w:val="00DA0957"/>
    <w:rsid w:val="00DB2CD6"/>
    <w:rsid w:val="00DC4BE7"/>
    <w:rsid w:val="00E01C5A"/>
    <w:rsid w:val="00E0259E"/>
    <w:rsid w:val="00E1056D"/>
    <w:rsid w:val="00E33095"/>
    <w:rsid w:val="00E36CE5"/>
    <w:rsid w:val="00E46342"/>
    <w:rsid w:val="00E52887"/>
    <w:rsid w:val="00E649D6"/>
    <w:rsid w:val="00E72658"/>
    <w:rsid w:val="00E80FBF"/>
    <w:rsid w:val="00E93851"/>
    <w:rsid w:val="00EA7998"/>
    <w:rsid w:val="00EB739C"/>
    <w:rsid w:val="00ED5D72"/>
    <w:rsid w:val="00EE088B"/>
    <w:rsid w:val="00EF5DF8"/>
    <w:rsid w:val="00F00EF2"/>
    <w:rsid w:val="00F02A5F"/>
    <w:rsid w:val="00F036B6"/>
    <w:rsid w:val="00F04B4F"/>
    <w:rsid w:val="00F11522"/>
    <w:rsid w:val="00F20E4B"/>
    <w:rsid w:val="00F22242"/>
    <w:rsid w:val="00F4468C"/>
    <w:rsid w:val="00F44E6E"/>
    <w:rsid w:val="00F53D7E"/>
    <w:rsid w:val="00F60776"/>
    <w:rsid w:val="00F72E07"/>
    <w:rsid w:val="00F72F9A"/>
    <w:rsid w:val="00F73CFB"/>
    <w:rsid w:val="00F73F1F"/>
    <w:rsid w:val="00F9108C"/>
    <w:rsid w:val="00F92815"/>
    <w:rsid w:val="00F96B3B"/>
    <w:rsid w:val="00FB408F"/>
    <w:rsid w:val="00FB64AD"/>
    <w:rsid w:val="00FC3E8D"/>
    <w:rsid w:val="00FD35A4"/>
    <w:rsid w:val="00FE0E88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6E44"/>
  <w15:chartTrackingRefBased/>
  <w15:docId w15:val="{C6398212-4F23-40E4-9501-A6C39F07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21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07631"/>
    <w:pPr>
      <w:snapToGrid w:val="0"/>
      <w:ind w:right="-1283" w:firstLine="851"/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076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434FC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2434F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434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0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F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Основной текст с отступом Знак"/>
    <w:link w:val="a9"/>
    <w:rsid w:val="00EF5DF8"/>
    <w:rPr>
      <w:rFonts w:ascii="Times New Roman" w:hAnsi="Times New Roman"/>
    </w:rPr>
  </w:style>
  <w:style w:type="paragraph" w:styleId="a9">
    <w:name w:val="Body Text Indent"/>
    <w:basedOn w:val="a"/>
    <w:link w:val="a8"/>
    <w:rsid w:val="00EF5DF8"/>
    <w:pPr>
      <w:spacing w:after="120"/>
      <w:ind w:left="283"/>
    </w:pPr>
    <w:rPr>
      <w:rFonts w:eastAsiaTheme="minorHAnsi"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F5DF8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9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t.butb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7E8F-C875-4C15-887C-4F505A34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Андрей Валентинович</dc:creator>
  <cp:keywords/>
  <dc:description/>
  <cp:lastModifiedBy>User</cp:lastModifiedBy>
  <cp:revision>11</cp:revision>
  <cp:lastPrinted>2025-06-20T14:01:00Z</cp:lastPrinted>
  <dcterms:created xsi:type="dcterms:W3CDTF">2026-06-05T12:25:00Z</dcterms:created>
  <dcterms:modified xsi:type="dcterms:W3CDTF">2026-06-05T12:37:00Z</dcterms:modified>
</cp:coreProperties>
</file>