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D7" w:rsidRPr="00343F96" w:rsidRDefault="008641D7" w:rsidP="008641D7">
      <w:pPr>
        <w:spacing w:after="0" w:line="280" w:lineRule="exact"/>
        <w:rPr>
          <w:rFonts w:ascii="Times New Roman" w:eastAsia="Times New Roman" w:hAnsi="Times New Roman" w:cs="Times New Roman"/>
          <w:sz w:val="30"/>
          <w:szCs w:val="30"/>
        </w:rPr>
      </w:pPr>
      <w:bookmarkStart w:id="0" w:name="_GoBack"/>
      <w:bookmarkEnd w:id="0"/>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B361DB">
      <w:pPr>
        <w:spacing w:after="0" w:line="240" w:lineRule="auto"/>
        <w:ind w:firstLine="709"/>
        <w:jc w:val="both"/>
        <w:rPr>
          <w:rFonts w:ascii="Times New Roman" w:hAnsi="Times New Roman" w:cs="Times New Roman"/>
          <w:b/>
          <w:bCs/>
          <w:sz w:val="30"/>
          <w:szCs w:val="30"/>
        </w:rPr>
      </w:pPr>
      <w:r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786245" w:rsidP="0078624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Pr="00343F96">
        <w:rPr>
          <w:rFonts w:ascii="Times New Roman" w:eastAsia="Times New Roman" w:hAnsi="Times New Roman" w:cs="Times New Roman"/>
          <w:sz w:val="30"/>
          <w:szCs w:val="30"/>
        </w:rPr>
        <w:t xml:space="preserve">, что </w:t>
      </w:r>
      <w:r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273703" w:rsidP="00273703">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Pr="00343F96">
        <w:rPr>
          <w:rFonts w:ascii="Times New Roman" w:eastAsia="Times New Roman" w:hAnsi="Times New Roman" w:cs="Times New Roman"/>
          <w:b/>
          <w:sz w:val="30"/>
          <w:szCs w:val="30"/>
        </w:rPr>
        <w:t xml:space="preserve"> возобновили </w:t>
      </w:r>
      <w:r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5D4F29"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Pr="00343F96">
        <w:rPr>
          <w:rFonts w:ascii="Times New Roman" w:eastAsia="Times New Roman" w:hAnsi="Times New Roman" w:cs="Times New Roman"/>
          <w:spacing w:val="-4"/>
          <w:sz w:val="30"/>
          <w:szCs w:val="30"/>
        </w:rPr>
        <w:t xml:space="preserve"> </w:t>
      </w:r>
      <w:r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Pr="00343F96">
        <w:rPr>
          <w:rFonts w:ascii="Times New Roman" w:eastAsia="Times New Roman" w:hAnsi="Times New Roman" w:cs="Times New Roman"/>
          <w:b/>
          <w:spacing w:val="-4"/>
          <w:sz w:val="30"/>
          <w:szCs w:val="30"/>
        </w:rPr>
        <w:t xml:space="preserve"> производственного потенциала мирового</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pacing w:val="-6"/>
          <w:sz w:val="30"/>
          <w:szCs w:val="30"/>
        </w:rPr>
        <w:t>сельского хозяйства</w:t>
      </w:r>
      <w:r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w:t>
      </w:r>
      <w:proofErr w:type="spellStart"/>
      <w:r w:rsidRPr="00343F96">
        <w:rPr>
          <w:rFonts w:ascii="Times New Roman" w:eastAsia="Times New Roman" w:hAnsi="Times New Roman" w:cs="Times New Roman"/>
          <w:b/>
          <w:sz w:val="30"/>
          <w:szCs w:val="30"/>
        </w:rPr>
        <w:t>биотоплива</w:t>
      </w:r>
      <w:proofErr w:type="spellEnd"/>
      <w:r w:rsidRPr="00343F96">
        <w:rPr>
          <w:rFonts w:ascii="Times New Roman" w:eastAsia="Times New Roman" w:hAnsi="Times New Roman" w:cs="Times New Roman"/>
          <w:b/>
          <w:sz w:val="30"/>
          <w:szCs w:val="30"/>
        </w:rPr>
        <w:t>,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8365D2" w:rsidP="003E0117">
      <w:pPr>
        <w:spacing w:after="0" w:line="240" w:lineRule="auto"/>
        <w:ind w:firstLine="709"/>
        <w:jc w:val="both"/>
        <w:rPr>
          <w:rFonts w:ascii="Times New Roman" w:eastAsia="Times New Roman" w:hAnsi="Times New Roman" w:cs="Times New Roman"/>
          <w:spacing w:val="-2"/>
          <w:sz w:val="30"/>
          <w:szCs w:val="30"/>
        </w:rPr>
      </w:pPr>
      <w:r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из 60-ти государств Африки (в т.ч.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25433C" w:rsidP="0078624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мире</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Вспышки лихорадки </w:t>
      </w:r>
      <w:proofErr w:type="spellStart"/>
      <w:r w:rsidRPr="00343F96">
        <w:rPr>
          <w:rFonts w:ascii="Times New Roman" w:eastAsia="Times New Roman" w:hAnsi="Times New Roman" w:cs="Times New Roman"/>
          <w:i/>
          <w:sz w:val="28"/>
          <w:szCs w:val="28"/>
        </w:rPr>
        <w:t>Эбола</w:t>
      </w:r>
      <w:proofErr w:type="spellEnd"/>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w:t>
      </w:r>
      <w:proofErr w:type="spellStart"/>
      <w:r w:rsidRPr="00343F96">
        <w:rPr>
          <w:rFonts w:ascii="Times New Roman" w:eastAsia="Times New Roman" w:hAnsi="Times New Roman" w:cs="Times New Roman"/>
          <w:i/>
          <w:sz w:val="28"/>
          <w:szCs w:val="28"/>
        </w:rPr>
        <w:t>Зика</w:t>
      </w:r>
      <w:proofErr w:type="spellEnd"/>
      <w:r w:rsidRPr="00343F96">
        <w:rPr>
          <w:rFonts w:ascii="Times New Roman" w:eastAsia="Times New Roman" w:hAnsi="Times New Roman" w:cs="Times New Roman"/>
          <w:i/>
          <w:sz w:val="28"/>
          <w:szCs w:val="28"/>
        </w:rPr>
        <w:t xml:space="preserve">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w:t>
      </w:r>
      <w:proofErr w:type="spellStart"/>
      <w:r w:rsidRPr="00343F96">
        <w:rPr>
          <w:rFonts w:ascii="Times New Roman" w:eastAsia="Times New Roman" w:hAnsi="Times New Roman" w:cs="Times New Roman"/>
          <w:i/>
          <w:sz w:val="28"/>
          <w:szCs w:val="28"/>
        </w:rPr>
        <w:t>высокопатогенн</w:t>
      </w:r>
      <w:r w:rsidR="0025433C" w:rsidRPr="00343F96">
        <w:rPr>
          <w:rFonts w:ascii="Times New Roman" w:eastAsia="Times New Roman" w:hAnsi="Times New Roman" w:cs="Times New Roman"/>
          <w:i/>
          <w:sz w:val="28"/>
          <w:szCs w:val="28"/>
        </w:rPr>
        <w:t>ый</w:t>
      </w:r>
      <w:proofErr w:type="spellEnd"/>
      <w:r w:rsidR="0025433C" w:rsidRPr="00343F96">
        <w:rPr>
          <w:rFonts w:ascii="Times New Roman" w:eastAsia="Times New Roman" w:hAnsi="Times New Roman" w:cs="Times New Roman"/>
          <w:i/>
          <w:sz w:val="28"/>
          <w:szCs w:val="28"/>
        </w:rPr>
        <w:t xml:space="preserve">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25433C" w:rsidP="003E0117">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w:t>
      </w:r>
      <w:r w:rsidR="008A6680" w:rsidRPr="00343F96">
        <w:rPr>
          <w:rFonts w:ascii="Times New Roman" w:eastAsia="Times New Roman" w:hAnsi="Times New Roman" w:cs="Times New Roman"/>
          <w:b/>
          <w:sz w:val="30"/>
          <w:szCs w:val="30"/>
        </w:rPr>
        <w:lastRenderedPageBreak/>
        <w:t>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w:t>
      </w:r>
      <w:proofErr w:type="spellStart"/>
      <w:r w:rsidR="00F3284D" w:rsidRPr="00343F96">
        <w:rPr>
          <w:rFonts w:ascii="Times New Roman" w:eastAsia="Times New Roman" w:hAnsi="Times New Roman" w:cs="Times New Roman"/>
          <w:sz w:val="30"/>
          <w:szCs w:val="30"/>
        </w:rPr>
        <w:t>биолабораторий</w:t>
      </w:r>
      <w:proofErr w:type="spellEnd"/>
      <w:r w:rsidR="00F3284D" w:rsidRPr="00343F96">
        <w:rPr>
          <w:rFonts w:ascii="Times New Roman" w:eastAsia="Times New Roman" w:hAnsi="Times New Roman" w:cs="Times New Roman"/>
          <w:sz w:val="30"/>
          <w:szCs w:val="30"/>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8A6680" w:rsidP="008A6680">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w:t>
      </w:r>
      <w:proofErr w:type="spellStart"/>
      <w:r w:rsidR="00223F39" w:rsidRPr="00343F96">
        <w:rPr>
          <w:rFonts w:ascii="Times New Roman" w:eastAsia="Times New Roman" w:hAnsi="Times New Roman" w:cs="Times New Roman"/>
          <w:i/>
          <w:sz w:val="28"/>
          <w:szCs w:val="28"/>
        </w:rPr>
        <w:t>биолабораторий</w:t>
      </w:r>
      <w:proofErr w:type="spellEnd"/>
      <w:r w:rsidR="00223F3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cs="Times New Roman"/>
          <w:i/>
          <w:sz w:val="28"/>
          <w:szCs w:val="28"/>
        </w:rPr>
        <w:t>хантавирусам</w:t>
      </w:r>
      <w:proofErr w:type="spellEnd"/>
      <w:r w:rsidRPr="00343F96">
        <w:rPr>
          <w:rFonts w:ascii="Times New Roman" w:eastAsia="Times New Roman" w:hAnsi="Times New Roman" w:cs="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 xml:space="preserve">16 тыс. </w:t>
      </w:r>
      <w:proofErr w:type="spellStart"/>
      <w:r w:rsidRPr="00343F96">
        <w:rPr>
          <w:rFonts w:ascii="Times New Roman" w:eastAsia="Times New Roman" w:hAnsi="Times New Roman" w:cs="Times New Roman"/>
          <w:i/>
          <w:sz w:val="28"/>
          <w:szCs w:val="28"/>
        </w:rPr>
        <w:t>биопроб</w:t>
      </w:r>
      <w:proofErr w:type="spellEnd"/>
      <w:r w:rsidRPr="00343F96">
        <w:rPr>
          <w:rFonts w:ascii="Times New Roman" w:eastAsia="Times New Roman" w:hAnsi="Times New Roman" w:cs="Times New Roman"/>
          <w:i/>
          <w:sz w:val="28"/>
          <w:szCs w:val="28"/>
        </w:rPr>
        <w:t>.</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w:t>
      </w:r>
      <w:proofErr w:type="spellStart"/>
      <w:r w:rsidRPr="00343F96">
        <w:rPr>
          <w:rFonts w:ascii="Times New Roman" w:eastAsia="Times New Roman" w:hAnsi="Times New Roman" w:cs="Times New Roman"/>
          <w:b/>
          <w:sz w:val="30"/>
          <w:szCs w:val="30"/>
        </w:rPr>
        <w:t>биоопасной</w:t>
      </w:r>
      <w:proofErr w:type="spellEnd"/>
      <w:r w:rsidRPr="00343F96">
        <w:rPr>
          <w:rFonts w:ascii="Times New Roman" w:eastAsia="Times New Roman" w:hAnsi="Times New Roman" w:cs="Times New Roman"/>
          <w:b/>
          <w:sz w:val="30"/>
          <w:szCs w:val="30"/>
        </w:rPr>
        <w:t xml:space="preserve">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2604DB"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Pr="00A1212B">
        <w:rPr>
          <w:rFonts w:ascii="Times New Roman" w:eastAsia="Times New Roman" w:hAnsi="Times New Roman" w:cs="Times New Roman"/>
          <w:i/>
          <w:sz w:val="28"/>
          <w:szCs w:val="28"/>
        </w:rPr>
        <w:t>и др.)</w:t>
      </w:r>
      <w:r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lastRenderedPageBreak/>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343F96">
        <w:rPr>
          <w:rFonts w:ascii="Times New Roman" w:hAnsi="Times New Roman" w:cs="Times New Roman"/>
          <w:i/>
          <w:sz w:val="28"/>
          <w:szCs w:val="28"/>
        </w:rPr>
        <w:t>Уханьский</w:t>
      </w:r>
      <w:proofErr w:type="spellEnd"/>
      <w:r w:rsidRPr="00343F96">
        <w:rPr>
          <w:rFonts w:ascii="Times New Roman" w:hAnsi="Times New Roman" w:cs="Times New Roman"/>
          <w:i/>
          <w:sz w:val="28"/>
          <w:szCs w:val="28"/>
        </w:rPr>
        <w:t xml:space="preserve">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r w:rsidRPr="00343F96">
        <w:rPr>
          <w:rFonts w:ascii="Times New Roman" w:eastAsia="Times New Roman" w:hAnsi="Times New Roman" w:cs="Times New Roman"/>
          <w:b/>
          <w:i/>
          <w:spacing w:val="-8"/>
          <w:sz w:val="28"/>
          <w:szCs w:val="28"/>
        </w:rPr>
        <w:t>Справочно:</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2F2477" w:rsidP="00351D05">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cs="Times New Roman"/>
          <w:spacing w:val="-4"/>
          <w:kern w:val="30"/>
          <w:sz w:val="30"/>
          <w:szCs w:val="30"/>
        </w:rPr>
        <w:t>.</w:t>
      </w:r>
      <w:r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Среди </w:t>
      </w:r>
      <w:r w:rsidRPr="00343F96">
        <w:rPr>
          <w:rFonts w:ascii="Times New Roman" w:hAnsi="Times New Roman" w:cs="Times New Roman"/>
          <w:b/>
          <w:sz w:val="30"/>
          <w:szCs w:val="30"/>
        </w:rPr>
        <w:t>факторов, влияющих на инфекционную заболеваемость</w:t>
      </w:r>
      <w:r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К источникам распространяемых животными инфекций относят: птиц </w:t>
      </w:r>
      <w:r w:rsidRPr="00D81246">
        <w:rPr>
          <w:rFonts w:ascii="Times New Roman" w:hAnsi="Times New Roman" w:cs="Times New Roman"/>
          <w:i/>
          <w:sz w:val="28"/>
          <w:szCs w:val="28"/>
        </w:rPr>
        <w:t>(особенно перелетных)</w:t>
      </w:r>
      <w:r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D81246" w:rsidRDefault="00D81246" w:rsidP="00351D05">
      <w:pPr>
        <w:spacing w:after="0" w:line="240" w:lineRule="auto"/>
        <w:ind w:firstLine="851"/>
        <w:jc w:val="both"/>
        <w:rPr>
          <w:rFonts w:ascii="Times New Roman" w:hAnsi="Times New Roman" w:cs="Times New Roman"/>
          <w:sz w:val="30"/>
          <w:szCs w:val="30"/>
        </w:rPr>
      </w:pPr>
    </w:p>
    <w:p w:rsidR="00D81246" w:rsidRPr="00343F96" w:rsidRDefault="00D81246" w:rsidP="00351D05">
      <w:pPr>
        <w:spacing w:after="0" w:line="240" w:lineRule="auto"/>
        <w:ind w:firstLine="851"/>
        <w:jc w:val="both"/>
        <w:rPr>
          <w:rFonts w:ascii="Times New Roman" w:hAnsi="Times New Roman" w:cs="Times New Roman"/>
          <w:sz w:val="30"/>
          <w:szCs w:val="30"/>
        </w:rPr>
      </w:pP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lastRenderedPageBreak/>
        <w:t>Справочно:</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w:t>
      </w:r>
      <w:proofErr w:type="spellStart"/>
      <w:r w:rsidR="003E3CB1" w:rsidRPr="00343F96">
        <w:rPr>
          <w:rFonts w:ascii="Times New Roman" w:eastAsia="Times New Roman" w:hAnsi="Times New Roman" w:cs="Times New Roman"/>
          <w:i/>
          <w:sz w:val="28"/>
          <w:szCs w:val="28"/>
        </w:rPr>
        <w:t>высокопатогенный</w:t>
      </w:r>
      <w:proofErr w:type="spellEnd"/>
      <w:r w:rsidR="003E3CB1" w:rsidRPr="00343F96">
        <w:rPr>
          <w:rFonts w:ascii="Times New Roman" w:eastAsia="Times New Roman" w:hAnsi="Times New Roman" w:cs="Times New Roman"/>
          <w:i/>
          <w:sz w:val="28"/>
          <w:szCs w:val="28"/>
        </w:rPr>
        <w:t xml:space="preserve">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351D05">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896A6E" w:rsidP="00351D0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FA1595" w:rsidP="00351D05">
      <w:pPr>
        <w:autoSpaceDE w:val="0"/>
        <w:autoSpaceDN w:val="0"/>
        <w:adjustRightInd w:val="0"/>
        <w:spacing w:after="0" w:line="240" w:lineRule="auto"/>
        <w:ind w:firstLine="709"/>
        <w:jc w:val="both"/>
        <w:rPr>
          <w:rFonts w:ascii="Times New Roman" w:hAnsi="Times New Roman" w:cs="Times New Roman"/>
          <w:sz w:val="30"/>
          <w:szCs w:val="30"/>
        </w:rPr>
      </w:pPr>
      <w:r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lastRenderedPageBreak/>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B211FB" w:rsidP="00351D05">
      <w:pPr>
        <w:spacing w:after="0" w:line="240" w:lineRule="auto"/>
        <w:ind w:firstLine="709"/>
        <w:jc w:val="both"/>
        <w:rPr>
          <w:rFonts w:ascii="Times New Roman" w:eastAsia="Times New Roman" w:hAnsi="Times New Roman" w:cs="Times New Roman"/>
          <w:sz w:val="30"/>
          <w:szCs w:val="30"/>
        </w:rPr>
      </w:pPr>
      <w:r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633C8F" w:rsidP="00351D05">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B82F2F" w:rsidP="00351D05">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lastRenderedPageBreak/>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343F96">
        <w:rPr>
          <w:rFonts w:ascii="Times New Roman" w:hAnsi="Times New Roman" w:cs="Times New Roman"/>
          <w:i/>
          <w:sz w:val="28"/>
          <w:szCs w:val="28"/>
        </w:rPr>
        <w:t>видaм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экономичeской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деятeльности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дoля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обрабатывающeй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промышлeнности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составляeт</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сeльского</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хoзяйства</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снабжeние</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элeктроэнергией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газoм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пaром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гoрячей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вoдой</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транспoртная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деятельнoсть</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proofErr w:type="spellStart"/>
      <w:r w:rsidRPr="00343F96">
        <w:rPr>
          <w:rFonts w:ascii="Times New Roman" w:hAnsi="Times New Roman" w:cs="Times New Roman"/>
          <w:i/>
          <w:sz w:val="28"/>
          <w:szCs w:val="28"/>
        </w:rPr>
        <w:t>нa</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oстальные</w:t>
      </w:r>
      <w:proofErr w:type="spellEnd"/>
      <w:r w:rsidRPr="00343F96">
        <w:rPr>
          <w:rFonts w:ascii="Times New Roman" w:hAnsi="Times New Roman" w:cs="Times New Roman"/>
          <w:i/>
          <w:sz w:val="28"/>
          <w:szCs w:val="28"/>
        </w:rPr>
        <w:t xml:space="preserve"> виды </w:t>
      </w:r>
      <w:proofErr w:type="spellStart"/>
      <w:r w:rsidRPr="00343F96">
        <w:rPr>
          <w:rFonts w:ascii="Times New Roman" w:hAnsi="Times New Roman" w:cs="Times New Roman"/>
          <w:i/>
          <w:sz w:val="28"/>
          <w:szCs w:val="28"/>
        </w:rPr>
        <w:t>дeятельности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прихoдится</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cs="Times New Roman"/>
          <w:b/>
          <w:sz w:val="30"/>
          <w:szCs w:val="30"/>
        </w:rPr>
        <w:t>выбросы парниковых</w:t>
      </w:r>
      <w:r w:rsidRPr="00343F96">
        <w:rPr>
          <w:rFonts w:ascii="Times New Roman" w:hAnsi="Times New Roman" w:cs="Times New Roman"/>
          <w:sz w:val="30"/>
          <w:szCs w:val="30"/>
        </w:rPr>
        <w:t xml:space="preserve"> газов на 28% по сравнению с 1990 годом. </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w:t>
      </w:r>
      <w:r w:rsidRPr="00343F96">
        <w:rPr>
          <w:rFonts w:ascii="Times New Roman" w:hAnsi="Times New Roman" w:cs="Times New Roman"/>
          <w:sz w:val="30"/>
          <w:szCs w:val="30"/>
        </w:rPr>
        <w:lastRenderedPageBreak/>
        <w:t xml:space="preserve">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w:t>
      </w:r>
      <w:proofErr w:type="spellStart"/>
      <w:r w:rsidRPr="00343F96">
        <w:rPr>
          <w:rFonts w:ascii="Times New Roman" w:hAnsi="Times New Roman" w:cs="Times New Roman"/>
          <w:i/>
          <w:sz w:val="28"/>
          <w:szCs w:val="28"/>
        </w:rPr>
        <w:t>Ивацевичского</w:t>
      </w:r>
      <w:proofErr w:type="spellEnd"/>
      <w:r w:rsidRPr="00343F96">
        <w:rPr>
          <w:rFonts w:ascii="Times New Roman" w:hAnsi="Times New Roman" w:cs="Times New Roman"/>
          <w:i/>
          <w:sz w:val="28"/>
          <w:szCs w:val="28"/>
        </w:rPr>
        <w:t xml:space="preserve">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E05644" w:rsidP="00E05644">
      <w:pPr>
        <w:spacing w:before="120"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s="Times New Roman"/>
          <w:color w:val="000000"/>
          <w:sz w:val="30"/>
          <w:szCs w:val="30"/>
        </w:rPr>
        <w:t xml:space="preserve">: закрыто 23 мини-полигона, </w:t>
      </w:r>
      <w:proofErr w:type="spellStart"/>
      <w:r w:rsidRPr="00343F96">
        <w:rPr>
          <w:rFonts w:ascii="Times New Roman" w:eastAsia="Times New Roman" w:hAnsi="Times New Roman" w:cs="Times New Roman"/>
          <w:color w:val="000000"/>
          <w:sz w:val="30"/>
          <w:szCs w:val="30"/>
        </w:rPr>
        <w:t>рекультивирован</w:t>
      </w:r>
      <w:proofErr w:type="spellEnd"/>
      <w:r w:rsidRPr="00343F96">
        <w:rPr>
          <w:rFonts w:ascii="Times New Roman" w:eastAsia="Times New Roman" w:hAnsi="Times New Roman" w:cs="Times New Roman"/>
          <w:color w:val="000000"/>
          <w:sz w:val="30"/>
          <w:szCs w:val="30"/>
        </w:rPr>
        <w:t xml:space="preserve"> 61 объект захоронения ТКО </w:t>
      </w:r>
      <w:r w:rsidRPr="00343F96">
        <w:rPr>
          <w:rFonts w:ascii="Times New Roman" w:eastAsia="Times New Roman" w:hAnsi="Times New Roman" w:cs="Times New Roman"/>
          <w:i/>
          <w:color w:val="000000"/>
          <w:sz w:val="28"/>
          <w:szCs w:val="28"/>
        </w:rPr>
        <w:t>(2 полигона и 59 мини-полигонов)</w:t>
      </w:r>
      <w:r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xml:space="preserve">. </w:t>
      </w:r>
      <w:r w:rsidRPr="003454DA">
        <w:rPr>
          <w:rFonts w:ascii="Times New Roman" w:eastAsia="Times New Roman" w:hAnsi="Times New Roman" w:cs="Times New Roman"/>
          <w:color w:val="000000"/>
          <w:spacing w:val="-6"/>
          <w:sz w:val="30"/>
          <w:szCs w:val="30"/>
        </w:rPr>
        <w:lastRenderedPageBreak/>
        <w:t>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E05644" w:rsidP="00E05644">
      <w:pPr>
        <w:spacing w:before="120" w:after="0" w:line="240" w:lineRule="auto"/>
        <w:ind w:firstLine="709"/>
        <w:jc w:val="both"/>
        <w:rPr>
          <w:rFonts w:ascii="Times New Roman" w:hAnsi="Times New Roman" w:cs="Times New Roman"/>
          <w:b/>
          <w:spacing w:val="-4"/>
          <w:sz w:val="30"/>
          <w:szCs w:val="30"/>
        </w:rPr>
      </w:pPr>
      <w:r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5B4C0C" w:rsidP="00F65F07">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lastRenderedPageBreak/>
        <w:t>Справочно:</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 послеаварийный период </w:t>
      </w:r>
      <w:r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cs="Times New Roman"/>
          <w:i/>
          <w:sz w:val="28"/>
          <w:szCs w:val="28"/>
        </w:rPr>
        <w:t>перезалужение</w:t>
      </w:r>
      <w:proofErr w:type="spellEnd"/>
      <w:r w:rsidRPr="00343F96">
        <w:rPr>
          <w:rFonts w:ascii="Times New Roman" w:hAnsi="Times New Roman" w:cs="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B92B64" w:rsidP="00896CA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w:t>
      </w:r>
      <w:r w:rsidR="00E05644" w:rsidRPr="00343F96">
        <w:rPr>
          <w:rFonts w:ascii="Times New Roman" w:hAnsi="Times New Roman" w:cs="Times New Roman"/>
          <w:sz w:val="30"/>
          <w:szCs w:val="30"/>
        </w:rPr>
        <w:lastRenderedPageBreak/>
        <w:t xml:space="preserve">населения, но и являются определенным гарантом качества </w:t>
      </w:r>
      <w:r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 xml:space="preserve">Глава государства </w:t>
      </w:r>
      <w:proofErr w:type="spellStart"/>
      <w:r w:rsidRPr="00343F96">
        <w:rPr>
          <w:rFonts w:ascii="Times New Roman" w:hAnsi="Times New Roman" w:cs="Times New Roman"/>
          <w:b/>
          <w:spacing w:val="-2"/>
          <w:sz w:val="30"/>
          <w:szCs w:val="30"/>
        </w:rPr>
        <w:t>А.Г.Лукашенко</w:t>
      </w:r>
      <w:proofErr w:type="spellEnd"/>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proofErr w:type="spellStart"/>
      <w:r w:rsidR="009A27A7" w:rsidRPr="00343F96">
        <w:rPr>
          <w:rFonts w:ascii="Times New Roman" w:hAnsi="Times New Roman" w:cs="Times New Roman"/>
          <w:sz w:val="30"/>
          <w:szCs w:val="30"/>
        </w:rPr>
        <w:t>БелАЭС</w:t>
      </w:r>
      <w:proofErr w:type="spellEnd"/>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E05644" w:rsidP="00F61C3A">
      <w:pPr>
        <w:spacing w:before="120" w:after="0" w:line="233"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proofErr w:type="gramStart"/>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w:t>
      </w:r>
      <w:proofErr w:type="gramEnd"/>
      <w:r w:rsidRPr="00343F96">
        <w:rPr>
          <w:rFonts w:ascii="Times New Roman" w:hAnsi="Times New Roman" w:cs="Times New Roman"/>
          <w:sz w:val="30"/>
          <w:szCs w:val="30"/>
        </w:rPr>
        <w:t xml:space="preserve">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Pr="00343F96"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lastRenderedPageBreak/>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proofErr w:type="spellStart"/>
      <w:r w:rsidRPr="00343F96">
        <w:rPr>
          <w:rFonts w:ascii="Times New Roman" w:hAnsi="Times New Roman" w:cs="Times New Roman"/>
          <w:i/>
          <w:spacing w:val="-6"/>
          <w:sz w:val="28"/>
          <w:szCs w:val="28"/>
        </w:rPr>
        <w:t>Монреальский</w:t>
      </w:r>
      <w:proofErr w:type="spellEnd"/>
      <w:r w:rsidRPr="00343F96">
        <w:rPr>
          <w:rFonts w:ascii="Times New Roman" w:hAnsi="Times New Roman" w:cs="Times New Roman"/>
          <w:i/>
          <w:spacing w:val="-6"/>
          <w:sz w:val="28"/>
          <w:szCs w:val="28"/>
        </w:rPr>
        <w:t xml:space="preserve">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 1975 года Беларусь является участницей </w:t>
      </w:r>
      <w:r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z w:val="30"/>
          <w:szCs w:val="30"/>
        </w:rPr>
        <w:t xml:space="preserve">В 2021 году </w:t>
      </w:r>
      <w:r w:rsidR="00C26DBD" w:rsidRPr="00343F96">
        <w:rPr>
          <w:rFonts w:ascii="Times New Roman" w:hAnsi="Times New Roman" w:cs="Times New Roman"/>
          <w:iCs/>
          <w:sz w:val="30"/>
          <w:szCs w:val="30"/>
        </w:rPr>
        <w:t xml:space="preserve">учрежден </w:t>
      </w:r>
      <w:r w:rsidR="00C26DBD" w:rsidRPr="00343F96">
        <w:rPr>
          <w:rFonts w:ascii="Times New Roman" w:hAnsi="Times New Roman" w:cs="Times New Roman"/>
          <w:b/>
          <w:sz w:val="30"/>
          <w:szCs w:val="30"/>
        </w:rPr>
        <w:t>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proofErr w:type="spellStart"/>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w:t>
      </w:r>
      <w:proofErr w:type="spellEnd"/>
      <w:r w:rsidR="00C26DBD" w:rsidRPr="00343F96">
        <w:rPr>
          <w:rFonts w:ascii="Times New Roman" w:hAnsi="Times New Roman" w:cs="Times New Roman"/>
          <w:spacing w:val="-4"/>
          <w:sz w:val="30"/>
          <w:szCs w:val="30"/>
        </w:rPr>
        <w:t>-Петербурге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 xml:space="preserve">очередная встреча запланирована в </w:t>
      </w:r>
      <w:proofErr w:type="spellStart"/>
      <w:r w:rsidR="004026C8" w:rsidRPr="00343F96">
        <w:rPr>
          <w:rFonts w:ascii="Times New Roman" w:eastAsia="Times New Roman" w:hAnsi="Times New Roman" w:cs="Times New Roman"/>
          <w:sz w:val="30"/>
          <w:szCs w:val="30"/>
        </w:rPr>
        <w:t>г.Минске</w:t>
      </w:r>
      <w:proofErr w:type="spellEnd"/>
      <w:r w:rsidR="004026C8" w:rsidRPr="00343F96">
        <w:rPr>
          <w:rFonts w:ascii="Times New Roman" w:eastAsia="Times New Roman" w:hAnsi="Times New Roman" w:cs="Times New Roman"/>
          <w:sz w:val="30"/>
          <w:szCs w:val="30"/>
        </w:rPr>
        <w:t xml:space="preserve">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w:t>
      </w:r>
      <w:proofErr w:type="spellStart"/>
      <w:r w:rsidR="005B067C" w:rsidRPr="003454DA">
        <w:rPr>
          <w:rFonts w:ascii="Times New Roman" w:hAnsi="Times New Roman" w:cs="Times New Roman"/>
          <w:spacing w:val="-8"/>
          <w:sz w:val="30"/>
          <w:szCs w:val="30"/>
        </w:rPr>
        <w:t>г.Минске</w:t>
      </w:r>
      <w:proofErr w:type="spellEnd"/>
      <w:r w:rsidR="005B067C" w:rsidRPr="003454DA">
        <w:rPr>
          <w:rFonts w:ascii="Times New Roman" w:hAnsi="Times New Roman" w:cs="Times New Roman"/>
          <w:spacing w:val="-8"/>
          <w:sz w:val="30"/>
          <w:szCs w:val="30"/>
        </w:rPr>
        <w:t xml:space="preserve">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w:t>
      </w:r>
      <w:r w:rsidR="00C26DBD" w:rsidRPr="00343F96">
        <w:rPr>
          <w:rFonts w:ascii="Times New Roman" w:hAnsi="Times New Roman" w:cs="Times New Roman"/>
          <w:sz w:val="30"/>
          <w:szCs w:val="30"/>
        </w:rPr>
        <w:lastRenderedPageBreak/>
        <w:t>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355707" w:rsidP="00C00AE3">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w:t>
      </w:r>
      <w:proofErr w:type="spellStart"/>
      <w:r w:rsidR="00CC4BA6" w:rsidRPr="00343F96">
        <w:rPr>
          <w:rFonts w:ascii="Times New Roman" w:hAnsi="Times New Roman" w:cs="Times New Roman"/>
          <w:sz w:val="30"/>
          <w:szCs w:val="30"/>
        </w:rPr>
        <w:t>невозобновляемые</w:t>
      </w:r>
      <w:proofErr w:type="spellEnd"/>
      <w:r w:rsidR="00CC4BA6" w:rsidRPr="00343F96">
        <w:rPr>
          <w:rFonts w:ascii="Times New Roman" w:hAnsi="Times New Roman" w:cs="Times New Roman"/>
          <w:sz w:val="30"/>
          <w:szCs w:val="30"/>
        </w:rPr>
        <w:t xml:space="preserve">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cs="Times New Roman"/>
          <w:i/>
          <w:sz w:val="28"/>
          <w:szCs w:val="28"/>
        </w:rPr>
        <w:t>минивэн</w:t>
      </w:r>
      <w:proofErr w:type="spellEnd"/>
      <w:r w:rsidRPr="00343F96">
        <w:rPr>
          <w:rFonts w:ascii="Times New Roman" w:hAnsi="Times New Roman" w:cs="Times New Roman"/>
          <w:i/>
          <w:sz w:val="28"/>
          <w:szCs w:val="28"/>
        </w:rPr>
        <w:t>, каркасно</w:t>
      </w:r>
      <w:r w:rsidRPr="00343F96">
        <w:rPr>
          <w:rFonts w:ascii="Times New Roman" w:hAnsi="Times New Roman" w:cs="Times New Roman"/>
          <w:i/>
          <w:sz w:val="28"/>
          <w:szCs w:val="28"/>
        </w:rPr>
        <w:noBreakHyphen/>
        <w:t xml:space="preserve">панельный электромобиль </w:t>
      </w:r>
      <w:proofErr w:type="spellStart"/>
      <w:r w:rsidRPr="00343F96">
        <w:rPr>
          <w:rFonts w:ascii="Times New Roman" w:hAnsi="Times New Roman" w:cs="Times New Roman"/>
          <w:i/>
          <w:sz w:val="28"/>
          <w:szCs w:val="28"/>
        </w:rPr>
        <w:t>Academic</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Electro</w:t>
      </w:r>
      <w:proofErr w:type="spellEnd"/>
      <w:r w:rsidRPr="00343F96">
        <w:rPr>
          <w:rFonts w:ascii="Times New Roman" w:hAnsi="Times New Roman" w:cs="Times New Roman"/>
          <w:i/>
          <w:sz w:val="28"/>
          <w:szCs w:val="28"/>
        </w:rPr>
        <w:t>, спортивный электрокар (</w:t>
      </w:r>
      <w:proofErr w:type="spellStart"/>
      <w:r w:rsidRPr="00343F96">
        <w:rPr>
          <w:rFonts w:ascii="Times New Roman" w:hAnsi="Times New Roman" w:cs="Times New Roman"/>
          <w:i/>
          <w:sz w:val="28"/>
          <w:szCs w:val="28"/>
        </w:rPr>
        <w:t>электроростер</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электроскутер</w:t>
      </w:r>
      <w:proofErr w:type="spellEnd"/>
      <w:r w:rsidRPr="00343F96">
        <w:rPr>
          <w:rFonts w:ascii="Times New Roman" w:hAnsi="Times New Roman" w:cs="Times New Roman"/>
          <w:i/>
          <w:sz w:val="28"/>
          <w:szCs w:val="28"/>
        </w:rPr>
        <w:t>; опытно</w:t>
      </w:r>
      <w:r w:rsidRPr="00343F96">
        <w:rPr>
          <w:rFonts w:ascii="Times New Roman" w:hAnsi="Times New Roman" w:cs="Times New Roman"/>
          <w:i/>
          <w:sz w:val="28"/>
          <w:szCs w:val="28"/>
        </w:rPr>
        <w:noBreakHyphen/>
        <w:t xml:space="preserve">промышленная партия </w:t>
      </w:r>
      <w:proofErr w:type="spellStart"/>
      <w:r w:rsidRPr="00343F96">
        <w:rPr>
          <w:rFonts w:ascii="Times New Roman" w:hAnsi="Times New Roman" w:cs="Times New Roman"/>
          <w:i/>
          <w:sz w:val="28"/>
          <w:szCs w:val="28"/>
        </w:rPr>
        <w:t>электровелосипедов</w:t>
      </w:r>
      <w:proofErr w:type="spellEnd"/>
      <w:r w:rsidRPr="00343F96">
        <w:rPr>
          <w:rFonts w:ascii="Times New Roman" w:hAnsi="Times New Roman" w:cs="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cs="Times New Roman"/>
          <w:i/>
          <w:sz w:val="28"/>
          <w:szCs w:val="28"/>
        </w:rPr>
        <w:t>Minsk</w:t>
      </w:r>
      <w:proofErr w:type="spellEnd"/>
      <w:r w:rsidRPr="00343F96">
        <w:rPr>
          <w:rFonts w:ascii="Times New Roman" w:hAnsi="Times New Roman" w:cs="Times New Roman"/>
          <w:i/>
          <w:sz w:val="28"/>
          <w:szCs w:val="28"/>
        </w:rPr>
        <w:t xml:space="preserve">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w:t>
      </w:r>
      <w:proofErr w:type="spellStart"/>
      <w:r w:rsidRPr="00343F96">
        <w:rPr>
          <w:rFonts w:ascii="Times New Roman" w:hAnsi="Times New Roman" w:cs="Times New Roman"/>
          <w:sz w:val="30"/>
          <w:szCs w:val="30"/>
        </w:rPr>
        <w:t>водосчетчиков</w:t>
      </w:r>
      <w:proofErr w:type="spellEnd"/>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lastRenderedPageBreak/>
        <w:t>Справочно:</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 xml:space="preserve">(электро- и </w:t>
      </w:r>
      <w:proofErr w:type="spellStart"/>
      <w:r w:rsidRPr="00343F96">
        <w:rPr>
          <w:rFonts w:ascii="Times New Roman" w:hAnsi="Times New Roman" w:cs="Times New Roman"/>
          <w:i/>
          <w:spacing w:val="-6"/>
          <w:sz w:val="28"/>
          <w:szCs w:val="28"/>
        </w:rPr>
        <w:t>пеллетной</w:t>
      </w:r>
      <w:proofErr w:type="spellEnd"/>
      <w:r w:rsidRPr="00343F96">
        <w:rPr>
          <w:rFonts w:ascii="Times New Roman" w:hAnsi="Times New Roman" w:cs="Times New Roman"/>
          <w:i/>
          <w:spacing w:val="-6"/>
          <w:sz w:val="28"/>
          <w:szCs w:val="28"/>
        </w:rPr>
        <w:t>)</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w:t>
      </w:r>
      <w:proofErr w:type="spellStart"/>
      <w:r w:rsidR="00B43C58" w:rsidRPr="00343F96">
        <w:rPr>
          <w:rFonts w:ascii="Times New Roman" w:hAnsi="Times New Roman" w:cs="Times New Roman"/>
          <w:i/>
          <w:sz w:val="28"/>
          <w:szCs w:val="28"/>
        </w:rPr>
        <w:t>энергоэффективными</w:t>
      </w:r>
      <w:proofErr w:type="spellEnd"/>
      <w:r w:rsidR="00B43C58" w:rsidRPr="00343F96">
        <w:rPr>
          <w:rFonts w:ascii="Times New Roman" w:hAnsi="Times New Roman" w:cs="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2CA7"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инновационный проект «Зеленые классы белорусской столицы»</w:t>
      </w:r>
      <w:r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cs="Times New Roman"/>
          <w:sz w:val="30"/>
          <w:szCs w:val="30"/>
        </w:rPr>
        <w:t>г.Минска</w:t>
      </w:r>
      <w:proofErr w:type="spellEnd"/>
      <w:r w:rsidRPr="00343F96">
        <w:rPr>
          <w:rFonts w:ascii="Times New Roman" w:hAnsi="Times New Roman" w:cs="Times New Roman"/>
          <w:sz w:val="30"/>
          <w:szCs w:val="30"/>
        </w:rPr>
        <w:t xml:space="preserve">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Pr="00343F96">
        <w:rPr>
          <w:rFonts w:ascii="Times New Roman" w:hAnsi="Times New Roman" w:cs="Times New Roman"/>
          <w:sz w:val="30"/>
          <w:szCs w:val="30"/>
        </w:rPr>
        <w:t>районе охвачено свыше 1,6 тыс. учащихся.</w:t>
      </w:r>
    </w:p>
    <w:p w:rsidR="00201AC6" w:rsidRPr="00343F96" w:rsidRDefault="00201AC6"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В 2021 году в </w:t>
      </w:r>
      <w:proofErr w:type="spellStart"/>
      <w:r w:rsidRPr="00343F96">
        <w:rPr>
          <w:rFonts w:ascii="Times New Roman" w:hAnsi="Times New Roman" w:cs="Times New Roman"/>
          <w:sz w:val="30"/>
          <w:szCs w:val="30"/>
        </w:rPr>
        <w:t>г.Минске</w:t>
      </w:r>
      <w:proofErr w:type="spellEnd"/>
      <w:r w:rsidRPr="00343F96">
        <w:rPr>
          <w:rFonts w:ascii="Times New Roman" w:hAnsi="Times New Roman" w:cs="Times New Roman"/>
          <w:sz w:val="30"/>
          <w:szCs w:val="30"/>
        </w:rPr>
        <w:t xml:space="preserve">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3861F7" w:rsidP="00387924">
      <w:pPr>
        <w:spacing w:before="120" w:after="12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9C" w:rsidRDefault="003E2F9C" w:rsidP="00090C36">
      <w:pPr>
        <w:spacing w:after="0" w:line="240" w:lineRule="auto"/>
      </w:pPr>
      <w:r>
        <w:separator/>
      </w:r>
    </w:p>
  </w:endnote>
  <w:endnote w:type="continuationSeparator" w:id="0">
    <w:p w:rsidR="003E2F9C" w:rsidRDefault="003E2F9C"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9C" w:rsidRDefault="003E2F9C" w:rsidP="00090C36">
      <w:pPr>
        <w:spacing w:after="0" w:line="240" w:lineRule="auto"/>
      </w:pPr>
      <w:r>
        <w:separator/>
      </w:r>
    </w:p>
  </w:footnote>
  <w:footnote w:type="continuationSeparator" w:id="0">
    <w:p w:rsidR="003E2F9C" w:rsidRDefault="003E2F9C" w:rsidP="0009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981846"/>
      <w:docPartObj>
        <w:docPartGallery w:val="Page Numbers (Top of Page)"/>
        <w:docPartUnique/>
      </w:docPartObj>
    </w:sdtPr>
    <w:sdtEndPr>
      <w:rPr>
        <w:rFonts w:ascii="Times New Roman" w:hAnsi="Times New Roman" w:cs="Times New Roman"/>
        <w:sz w:val="30"/>
        <w:szCs w:val="30"/>
      </w:rPr>
    </w:sdtEndPr>
    <w:sdtContent>
      <w:p w:rsidR="00430D0E" w:rsidRPr="00C00AE3" w:rsidRDefault="00430D0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371813">
          <w:rPr>
            <w:rFonts w:ascii="Times New Roman" w:hAnsi="Times New Roman" w:cs="Times New Roman"/>
            <w:noProof/>
            <w:sz w:val="30"/>
            <w:szCs w:val="30"/>
          </w:rPr>
          <w:t>17</w:t>
        </w:r>
        <w:r w:rsidRPr="00C00AE3">
          <w:rPr>
            <w:rFonts w:ascii="Times New Roman" w:hAnsi="Times New Roman" w:cs="Times New Roman"/>
            <w:sz w:val="30"/>
            <w:szCs w:val="30"/>
          </w:rPr>
          <w:fldChar w:fldCharType="end"/>
        </w:r>
      </w:p>
    </w:sdtContent>
  </w:sdt>
  <w:p w:rsidR="00430D0E" w:rsidRDefault="00430D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71813"/>
    <w:rsid w:val="00373056"/>
    <w:rsid w:val="0037583B"/>
    <w:rsid w:val="00385CCF"/>
    <w:rsid w:val="003861F7"/>
    <w:rsid w:val="00386A46"/>
    <w:rsid w:val="00387924"/>
    <w:rsid w:val="00387EA2"/>
    <w:rsid w:val="003A3E5B"/>
    <w:rsid w:val="003B069D"/>
    <w:rsid w:val="003C278F"/>
    <w:rsid w:val="003C3BF5"/>
    <w:rsid w:val="003D4086"/>
    <w:rsid w:val="003D6B27"/>
    <w:rsid w:val="003E0117"/>
    <w:rsid w:val="003E03DF"/>
    <w:rsid w:val="003E2F9C"/>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D1533"/>
    <w:rsid w:val="004D3D6F"/>
    <w:rsid w:val="004E1D5F"/>
    <w:rsid w:val="004E39D2"/>
    <w:rsid w:val="004F2CA7"/>
    <w:rsid w:val="004F3BF8"/>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6079"/>
    <w:rsid w:val="007603D9"/>
    <w:rsid w:val="007719F2"/>
    <w:rsid w:val="00773805"/>
    <w:rsid w:val="0077433B"/>
    <w:rsid w:val="00786245"/>
    <w:rsid w:val="007866B5"/>
    <w:rsid w:val="00792DE2"/>
    <w:rsid w:val="00792F1C"/>
    <w:rsid w:val="00794697"/>
    <w:rsid w:val="007B4B66"/>
    <w:rsid w:val="007C0FF5"/>
    <w:rsid w:val="007C3F17"/>
    <w:rsid w:val="007D1371"/>
    <w:rsid w:val="007D4B57"/>
    <w:rsid w:val="007D63F9"/>
    <w:rsid w:val="007E74D0"/>
    <w:rsid w:val="007F1103"/>
    <w:rsid w:val="00804B9F"/>
    <w:rsid w:val="00822694"/>
    <w:rsid w:val="0082603F"/>
    <w:rsid w:val="00836382"/>
    <w:rsid w:val="008365D2"/>
    <w:rsid w:val="00854F02"/>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6DBD"/>
    <w:rsid w:val="00C34CBF"/>
    <w:rsid w:val="00C41558"/>
    <w:rsid w:val="00C5100D"/>
    <w:rsid w:val="00C56AE5"/>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625F-3DA5-4242-95AC-BFD36B55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5870</Words>
  <Characters>33463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User</cp:lastModifiedBy>
  <cp:revision>2</cp:revision>
  <cp:lastPrinted>2023-05-31T09:30:00Z</cp:lastPrinted>
  <dcterms:created xsi:type="dcterms:W3CDTF">2023-06-07T06:26:00Z</dcterms:created>
  <dcterms:modified xsi:type="dcterms:W3CDTF">2023-06-07T06:26:00Z</dcterms:modified>
</cp:coreProperties>
</file>